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B1E99" w:rsidR="00990A9D" w:rsidP="00990A9D" w:rsidRDefault="00990A9D" w14:paraId="58A1A436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olor w:val="213D3D"/>
          <w:sz w:val="48"/>
          <w:szCs w:val="48"/>
        </w:rPr>
        <w:t>American Rescue Plan Act (ARPA) Nevada County Funding Request</w:t>
      </w:r>
      <w:r w:rsidRPr="00FB1E99">
        <w:rPr>
          <w:rFonts w:ascii="Calibri" w:hAnsi="Calibri" w:eastAsia="Times New Roman" w:cs="Calibri"/>
          <w:color w:val="213D3D"/>
          <w:sz w:val="48"/>
          <w:szCs w:val="48"/>
        </w:rPr>
        <w:t>​</w:t>
      </w:r>
      <w:r w:rsidRPr="00FB1E99">
        <w:rPr>
          <w:rFonts w:ascii="Tw Cen MT" w:hAnsi="Tw Cen MT" w:eastAsia="Times New Roman" w:cs="Segoe UI"/>
          <w:color w:val="213D3D"/>
          <w:sz w:val="48"/>
          <w:szCs w:val="48"/>
        </w:rPr>
        <w:t> </w:t>
      </w:r>
    </w:p>
    <w:p w:rsidRPr="00FB1E99" w:rsidR="00990A9D" w:rsidP="00990A9D" w:rsidRDefault="00990A9D" w14:paraId="4C25A154" w14:textId="4D87A6DB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b/>
          <w:bCs/>
          <w:caps/>
          <w:color w:val="459164"/>
          <w:sz w:val="18"/>
          <w:szCs w:val="18"/>
        </w:rPr>
      </w:pPr>
      <w:r w:rsidRPr="00FB1E99">
        <w:rPr>
          <w:rFonts w:ascii="Calibri" w:hAnsi="Calibri" w:eastAsia="Times New Roman" w:cs="Calibri"/>
          <w:b/>
          <w:bCs/>
          <w:caps/>
          <w:color w:val="459164"/>
          <w:sz w:val="24"/>
          <w:szCs w:val="24"/>
        </w:rPr>
        <w:t>​​</w:t>
      </w:r>
      <w:r w:rsidRPr="00FB1E99">
        <w:rPr>
          <w:rFonts w:ascii="Tw Cen MT" w:hAnsi="Tw Cen MT" w:eastAsia="Times New Roman" w:cs="Segoe UI"/>
          <w:b/>
          <w:bCs/>
          <w:caps/>
          <w:color w:val="459164"/>
          <w:sz w:val="24"/>
          <w:szCs w:val="24"/>
        </w:rPr>
        <w:t xml:space="preserve">OUTDOOR VISITOR SAFETY FUND: </w:t>
      </w:r>
      <w:r>
        <w:rPr>
          <w:rFonts w:ascii="Tw Cen MT" w:hAnsi="Tw Cen MT" w:eastAsia="Times New Roman" w:cs="Segoe UI"/>
          <w:b/>
          <w:bCs/>
          <w:caps/>
          <w:color w:val="459164"/>
          <w:sz w:val="24"/>
          <w:szCs w:val="24"/>
        </w:rPr>
        <w:t>South Yuba River Citizens League: River Ambassadors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2482"/>
        <w:gridCol w:w="2175"/>
        <w:gridCol w:w="2494"/>
      </w:tblGrid>
      <w:tr w:rsidRPr="00FB1E99" w:rsidR="00990A9D" w:rsidTr="00741EEE" w14:paraId="0CCA6D43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5AAAFB11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Operational Priority: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6C6E961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1: Essential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990A9D" w:rsidP="00741EEE" w:rsidRDefault="00990A9D" w14:paraId="697FCA5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2: High-Impact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990A9D" w:rsidP="00741EEE" w:rsidRDefault="00990A9D" w14:paraId="66814B7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3: Nice to Have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0939A785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Timing Priority: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03DC5A2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1: Urgent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990A9D" w:rsidP="00741EEE" w:rsidRDefault="00990A9D" w14:paraId="377A826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2: 6 months – 1 year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990A9D" w:rsidP="00741EEE" w:rsidRDefault="00990A9D" w14:paraId="71E957C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3: 1 – 2 years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990A9D" w:rsidP="00741EEE" w:rsidRDefault="00990A9D" w14:paraId="1FDA17A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4: Long-term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990A9D" w:rsidTr="00741EEE" w14:paraId="75E20E3B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4CCE6607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Total Project Budget: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252CE759" w14:textId="729A088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 w:rsidR="00E86A6A">
              <w:rPr>
                <w:rFonts w:ascii="Tw Cen MT" w:hAnsi="Tw Cen MT" w:eastAsia="Times New Roman" w:cs="Times New Roman"/>
                <w:sz w:val="23"/>
                <w:szCs w:val="23"/>
              </w:rPr>
              <w:t>16,700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46B3FBC7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ARPA Funding Request: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01CECED9" w14:textId="3FE825F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 w:rsidR="00E86A6A">
              <w:rPr>
                <w:rFonts w:ascii="Tw Cen MT" w:hAnsi="Tw Cen MT" w:eastAsia="Times New Roman" w:cs="Times New Roman"/>
                <w:sz w:val="23"/>
                <w:szCs w:val="23"/>
              </w:rPr>
              <w:t>16,700</w:t>
            </w:r>
          </w:p>
        </w:tc>
      </w:tr>
      <w:tr w:rsidRPr="00FB1E99" w:rsidR="00990A9D" w:rsidTr="00741EEE" w14:paraId="128CC904" w14:textId="77777777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7C48DE8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ascii="Segoe UI Symbol" w:hAnsi="Segoe UI Symbol" w:eastAsia="Times New Roman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Yes 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No  Is</w:t>
            </w:r>
            <w:proofErr w:type="gram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there FEMA, State or other Direct or Grant Funding available? If </w:t>
            </w:r>
            <w:proofErr w:type="gram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Yes</w:t>
            </w:r>
            <w:proofErr w:type="gram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, please Specify below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990A9D" w:rsidTr="00741EEE" w14:paraId="2499219D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3E086350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Funding Source: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62D6CB2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653B8D5F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Source Amount: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38AB744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990A9D" w:rsidTr="00741EEE" w14:paraId="5DBEF42E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21AB38A3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Funding Source: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40A88C5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1D1C0E17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Source Amount: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58555C3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</w:tbl>
    <w:p w:rsidRPr="00FB1E99" w:rsidR="00990A9D" w:rsidP="00990A9D" w:rsidRDefault="00990A9D" w14:paraId="01AA78E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 </w:t>
      </w:r>
    </w:p>
    <w:p w:rsidRPr="00FB1E99" w:rsidR="00990A9D" w:rsidP="00990A9D" w:rsidRDefault="00990A9D" w14:paraId="03EC265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OTHER FUNDING INFORMATION </w:t>
      </w:r>
    </w:p>
    <w:p w:rsidRPr="00FB1E99" w:rsidR="00990A9D" w:rsidP="00990A9D" w:rsidRDefault="00990A9D" w14:paraId="15884A01" w14:textId="77777777">
      <w:pPr>
        <w:spacing w:after="0" w:line="240" w:lineRule="auto"/>
        <w:ind w:left="9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color w:val="000000"/>
          <w:sz w:val="23"/>
          <w:szCs w:val="23"/>
        </w:rPr>
        <w:t>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 </w:t>
      </w:r>
      <w:r w:rsidRPr="00FB1E99">
        <w:rPr>
          <w:rFonts w:ascii="Tw Cen MT" w:hAnsi="Tw Cen MT" w:eastAsia="Times New Roman" w:cs="Segoe UI"/>
          <w:sz w:val="23"/>
          <w:szCs w:val="23"/>
        </w:rPr>
        <w:t>N/A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990A9D" w:rsidP="00990A9D" w:rsidRDefault="00990A9D" w14:paraId="288BC3C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7D4730E0" w:rsidR="00990A9D">
        <w:rPr>
          <w:rFonts w:ascii="Tw Cen MT" w:hAnsi="Tw Cen MT" w:eastAsia="Times New Roman" w:cs="Segoe UI"/>
          <w:caps w:val="1"/>
          <w:color w:val="213D3D"/>
          <w:sz w:val="32"/>
          <w:szCs w:val="32"/>
        </w:rPr>
        <w:t>PROJECT DESCRIPTION </w:t>
      </w:r>
    </w:p>
    <w:p w:rsidR="42CBA5C2" w:rsidP="7D4730E0" w:rsidRDefault="42CBA5C2" w14:paraId="51BA69AC" w14:textId="5C9DC839">
      <w:pPr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</w:pPr>
      <w:r w:rsidRPr="7D4730E0" w:rsidR="42CBA5C2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The Outdoor Visitor Safety Fund grant program was </w:t>
      </w:r>
      <w:r w:rsidRPr="7D4730E0" w:rsidR="42CBA5C2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established</w:t>
      </w:r>
      <w:r w:rsidRPr="7D4730E0" w:rsidR="42CBA5C2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and approved by the Board of Supervisors in April 2021 to provide up to $450,000 in one-time grants from ARPA funds </w:t>
      </w:r>
      <w:r w:rsidRPr="7D4730E0" w:rsidR="42CBA5C2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and $400,000 from General Funds </w:t>
      </w:r>
      <w:r w:rsidRPr="7D4730E0" w:rsidR="42CBA5C2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to respond to the negative economic impacts of COVID-19 through promoting public health and safety at highly impacted outdoor recreation destinations. The program offered project funding </w:t>
      </w:r>
      <w:r w:rsidRPr="7D4730E0" w:rsidR="42CBA5C2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in two rounds </w:t>
      </w:r>
      <w:r w:rsidRPr="7D4730E0" w:rsidR="42CBA5C2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of up to $200,000 for eligible entities including non-profits, businesses, and special districts.</w:t>
      </w:r>
      <w:r w:rsidRPr="7D4730E0" w:rsidR="42CBA5C2">
        <w:rPr>
          <w:rFonts w:ascii="Arial" w:hAnsi="Arial" w:eastAsia="Arial" w:cs="Arial"/>
          <w:noProof w:val="0"/>
          <w:color w:val="auto"/>
          <w:sz w:val="23"/>
          <w:szCs w:val="23"/>
          <w:lang w:val="en-US"/>
        </w:rPr>
        <w:t> </w:t>
      </w:r>
      <w:r w:rsidRPr="7D4730E0" w:rsidR="42CBA5C2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Projects were selected through a competitive process and </w:t>
      </w:r>
      <w:r w:rsidRPr="7D4730E0" w:rsidR="42CBA5C2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additional</w:t>
      </w:r>
      <w:r w:rsidRPr="7D4730E0" w:rsidR="42CBA5C2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consideration was given to those that support economic development, enhance </w:t>
      </w:r>
      <w:r w:rsidRPr="7D4730E0" w:rsidR="42CBA5C2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equitable</w:t>
      </w:r>
      <w:r w:rsidRPr="7D4730E0" w:rsidR="42CBA5C2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access, address climate change adaptation, and promote environmental sustainability and resilience. </w:t>
      </w:r>
      <w:r w:rsidRPr="7D4730E0" w:rsidR="42CBA5C2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Eight (8) projects </w:t>
      </w:r>
      <w:r w:rsidRPr="7D4730E0" w:rsidR="42CBA5C2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were reviewed and approved for a total of </w:t>
      </w:r>
      <w:r w:rsidRPr="7D4730E0" w:rsidR="42CBA5C2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$388,480 in Round 2 </w:t>
      </w:r>
      <w:r w:rsidRPr="7D4730E0" w:rsidR="42CBA5C2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funding, and agreements approved by the </w:t>
      </w:r>
      <w:r w:rsidRPr="7D4730E0" w:rsidR="42CBA5C2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Board on August 8, 2023</w:t>
      </w:r>
      <w:r w:rsidRPr="7D4730E0" w:rsidR="42CBA5C2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, </w:t>
      </w:r>
      <w:r w:rsidRPr="7D4730E0" w:rsidR="42CBA5C2">
        <w:rPr>
          <w:rFonts w:ascii="TW Cen MT" w:hAnsi="TW Cen MT" w:eastAsia="TW Cen MT" w:cs="TW Cen MT"/>
          <w:b w:val="1"/>
          <w:bCs w:val="1"/>
          <w:noProof w:val="0"/>
          <w:color w:val="auto"/>
          <w:sz w:val="23"/>
          <w:szCs w:val="23"/>
          <w:lang w:val="en-US"/>
        </w:rPr>
        <w:t>including this project outlined below:</w:t>
      </w:r>
      <w:r w:rsidRPr="7D4730E0" w:rsidR="42CBA5C2">
        <w:rPr>
          <w:rFonts w:ascii="Arial" w:hAnsi="Arial" w:eastAsia="Arial" w:cs="Arial"/>
          <w:noProof w:val="0"/>
          <w:color w:val="auto"/>
          <w:sz w:val="23"/>
          <w:szCs w:val="23"/>
          <w:lang w:val="en-US"/>
        </w:rPr>
        <w:t> </w:t>
      </w:r>
    </w:p>
    <w:p w:rsidRPr="00FB1E99" w:rsidR="00990A9D" w:rsidP="00990A9D" w:rsidRDefault="00990A9D" w14:paraId="49012AD7" w14:textId="7B5F10D4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Truckee Trails Foundation</w:t>
      </w:r>
      <w:r w:rsidRPr="00FB1E99"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- </w:t>
      </w:r>
      <w:r w:rsidRPr="00FB1E99"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$</w:t>
      </w:r>
      <w:r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16,700</w:t>
      </w:r>
      <w:r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w Cen MT" w:hAnsi="Tw Cen MT"/>
          <w:i/>
          <w:iCs/>
          <w:sz w:val="23"/>
          <w:szCs w:val="23"/>
        </w:rPr>
        <w:t>River Ambassadors Program.</w:t>
      </w:r>
    </w:p>
    <w:p w:rsidRPr="00FB1E99" w:rsidR="00990A9D" w:rsidP="00990A9D" w:rsidRDefault="00990A9D" w14:paraId="4CD55781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990A9D" w:rsidP="00990A9D" w:rsidRDefault="00990A9D" w14:paraId="2F8AC67B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General Purpose, Focus, and Outcomes Report </w:t>
      </w:r>
    </w:p>
    <w:p w:rsidRPr="00FB1E99" w:rsidR="00990A9D" w:rsidP="00990A9D" w:rsidRDefault="00990A9D" w14:paraId="79ED359F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Mitigate financial hardship, such as declines in revenues due to impacts of periods of business closures, and/or suspended business activities such as revenue generating fund raisers due to social distancing requirements or other public health </w:t>
      </w:r>
      <w:proofErr w:type="gramStart"/>
      <w:r w:rsidRPr="00FB1E99">
        <w:rPr>
          <w:rFonts w:ascii="Tw Cen MT" w:hAnsi="Tw Cen MT" w:eastAsia="Times New Roman" w:cs="Segoe UI"/>
          <w:sz w:val="23"/>
          <w:szCs w:val="23"/>
        </w:rPr>
        <w:t>orders;</w:t>
      </w:r>
      <w:proofErr w:type="gramEnd"/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990A9D" w:rsidP="00990A9D" w:rsidRDefault="00990A9D" w14:paraId="1C2F05E8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Support for normal operating costs, including payroll and benefit costs, costs to retain employees, mortgage, rent, or utilities costs, and other operating </w:t>
      </w:r>
      <w:proofErr w:type="gramStart"/>
      <w:r w:rsidRPr="00FB1E99">
        <w:rPr>
          <w:rFonts w:ascii="Tw Cen MT" w:hAnsi="Tw Cen MT" w:eastAsia="Times New Roman" w:cs="Segoe UI"/>
          <w:sz w:val="23"/>
          <w:szCs w:val="23"/>
        </w:rPr>
        <w:t>costs;</w:t>
      </w:r>
      <w:proofErr w:type="gramEnd"/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990A9D" w:rsidP="00990A9D" w:rsidRDefault="00990A9D" w14:paraId="5302538C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☒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>Support for programmatic services that assist in addressing the economic hardship experienced by the Grant Recipient and/or the negative economic impacts experienced by its customers; and  </w:t>
      </w:r>
    </w:p>
    <w:p w:rsidRPr="00FB1E99" w:rsidR="00990A9D" w:rsidP="00990A9D" w:rsidRDefault="00990A9D" w14:paraId="1B4BF987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>Implementation of COVID-19 prevention or mitigation tactics, such as physical plant changes to enable social distancing, enhanced cleaning efforts, barriers, or partitions, etc.  </w:t>
      </w:r>
    </w:p>
    <w:p w:rsidRPr="00FB1E99" w:rsidR="00990A9D" w:rsidP="00990A9D" w:rsidRDefault="00990A9D" w14:paraId="4CB0777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NEXUS TO ARPA GUIDELINES </w:t>
      </w:r>
    </w:p>
    <w:p w:rsidRPr="00FB1E99" w:rsidR="00990A9D" w:rsidP="00990A9D" w:rsidRDefault="00990A9D" w14:paraId="28E3549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0"/>
          <w:szCs w:val="20"/>
        </w:rPr>
        <w:t> </w:t>
      </w:r>
    </w:p>
    <w:tbl>
      <w:tblPr>
        <w:tblW w:w="0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3"/>
        <w:gridCol w:w="3969"/>
        <w:gridCol w:w="363"/>
      </w:tblGrid>
      <w:tr w:rsidRPr="00FB1E99" w:rsidR="00990A9D" w:rsidTr="00741EEE" w14:paraId="53496B22" w14:textId="77777777">
        <w:trPr>
          <w:gridAfter w:val="1"/>
          <w:wAfter w:w="480" w:type="dxa"/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3430E83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 xml:space="preserve">ARPA Reporting Category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(from US Treasury Reporting Guidance, Appendix 1 – see pages 3-5 below):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990A9D" w:rsidTr="00741EEE" w14:paraId="0D917953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429FD96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 – Public Health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0965484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 – Negative Economic Impacts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990A9D" w:rsidTr="00741EEE" w14:paraId="24C5D706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20E80FD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lastRenderedPageBreak/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 – Public Health – Negative Impact: Public Sector Capacity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01B5594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5 – Infrastructure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990A9D" w:rsidP="00741EEE" w:rsidRDefault="00990A9D" w14:paraId="252F5B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990A9D" w:rsidTr="00741EEE" w14:paraId="6C6E07DB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54D6D9F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6 – Provision of Government Services (Revenue Replacement)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5174E24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7 – Administrative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990A9D" w:rsidP="00741EEE" w:rsidRDefault="00990A9D" w14:paraId="0C1A6A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990A9D" w:rsidTr="00741EEE" w14:paraId="113BD972" w14:textId="77777777">
        <w:trPr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5430599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 xml:space="preserve">Sub-Category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(from US Treasury Reporting Guidance, Appendix 1 – see pages 3-5 below):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990A9D" w:rsidP="00741EEE" w:rsidRDefault="00990A9D" w14:paraId="5DEABC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990A9D" w:rsidTr="00741EEE" w14:paraId="07A4E6D6" w14:textId="77777777">
        <w:trPr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4011A4C9" w14:textId="77777777">
            <w:pPr>
              <w:spacing w:after="0" w:line="240" w:lineRule="auto"/>
              <w:ind w:left="330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Please provide one Sub-Category designation: 22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990A9D" w:rsidP="00741EEE" w:rsidRDefault="00990A9D" w14:paraId="7FEB79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Pr="00FB1E99" w:rsidR="00990A9D" w:rsidP="00990A9D" w:rsidRDefault="00990A9D" w14:paraId="5C3843C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0"/>
          <w:szCs w:val="20"/>
        </w:rPr>
        <w:t> </w:t>
      </w:r>
    </w:p>
    <w:p w:rsidRPr="00FB1E99" w:rsidR="00990A9D" w:rsidP="00990A9D" w:rsidRDefault="00990A9D" w14:paraId="758D37A7" w14:textId="77777777">
      <w:pPr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  <w:shd w:val="clear" w:color="auto" w:fill="FFFFFF"/>
        </w:rPr>
        <w:t xml:space="preserve">The grants, funded by the American Rescue Plan Act (ARPA), respond to the negative economic impacts of the COVID-19 pandemic with projects to increase resiliency and promote health and safety at highly impacted outdoor recreation destinations. </w:t>
      </w:r>
      <w:r w:rsidRPr="00FB1E99">
        <w:rPr>
          <w:rFonts w:ascii="Tw Cen MT" w:hAnsi="Tw Cen MT" w:eastAsia="Times New Roman" w:cs="Segoe UI"/>
          <w:sz w:val="23"/>
          <w:szCs w:val="23"/>
        </w:rPr>
        <w:t>BONC is a non-profit organization based in Nevada County, CA.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990A9D" w:rsidP="00990A9D" w:rsidRDefault="00990A9D" w14:paraId="459D065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NEXUS TO BOARD OBJECTIVES &amp; COUNTY PRIORITIES / COMMUNITY IMPACT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2100"/>
        <w:gridCol w:w="2170"/>
        <w:gridCol w:w="2194"/>
      </w:tblGrid>
      <w:tr w:rsidRPr="00FB1E99" w:rsidR="00990A9D" w:rsidTr="00741EEE" w14:paraId="01615947" w14:textId="77777777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340A1200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Board Objectives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(select any that apply)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990A9D" w:rsidTr="00741EEE" w14:paraId="5BE05B64" w14:textId="77777777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0EAAB304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Fiscal Stability/Core </w:t>
            </w:r>
            <w:proofErr w:type="spell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Svcs</w:t>
            </w:r>
            <w:proofErr w:type="spell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.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45A2591A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Emergency Prep.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004105B7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Economic Dev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5984EF62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Broadband </w:t>
            </w:r>
          </w:p>
        </w:tc>
      </w:tr>
      <w:tr w:rsidRPr="00FB1E99" w:rsidR="00990A9D" w:rsidTr="00741EEE" w14:paraId="38CC63DA" w14:textId="77777777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491EFCEB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Cannabis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44D9AB4C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Housing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6D8D59F9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Homelessness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62C19DB7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Recreation </w:t>
            </w:r>
          </w:p>
        </w:tc>
      </w:tr>
    </w:tbl>
    <w:p w:rsidRPr="00FB1E99" w:rsidR="00990A9D" w:rsidP="00990A9D" w:rsidRDefault="00990A9D" w14:paraId="141F6B0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3"/>
          <w:szCs w:val="23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32"/>
        <w:gridCol w:w="3113"/>
      </w:tblGrid>
      <w:tr w:rsidRPr="00FB1E99" w:rsidR="00990A9D" w:rsidTr="00741EEE" w14:paraId="5066AFC2" w14:textId="77777777">
        <w:trPr>
          <w:trHeight w:val="300"/>
        </w:trPr>
        <w:tc>
          <w:tcPr>
            <w:tcW w:w="10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1459B44D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 xml:space="preserve">County Priorities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(select any that apply)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990A9D" w:rsidTr="00741EEE" w14:paraId="30F41210" w14:textId="77777777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0E7191C0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ascii="Segoe UI Symbol" w:hAnsi="Segoe UI Symbol" w:eastAsia="Times New Roman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Costs related to COVID-19 response 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35F13849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Encourage economic recovery 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990A9D" w:rsidP="00741EEE" w:rsidRDefault="00990A9D" w14:paraId="02091194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Provide long-term benefits to County </w:t>
            </w:r>
          </w:p>
        </w:tc>
      </w:tr>
    </w:tbl>
    <w:p w:rsidRPr="00FB1E99" w:rsidR="00990A9D" w:rsidP="00990A9D" w:rsidRDefault="00990A9D" w14:paraId="1E65CB9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3"/>
          <w:szCs w:val="23"/>
        </w:rPr>
        <w:t> </w:t>
      </w:r>
    </w:p>
    <w:p w:rsidRPr="00FB1E99" w:rsidR="00990A9D" w:rsidP="00990A9D" w:rsidRDefault="00990A9D" w14:paraId="4240B0FB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color w:val="000000"/>
          <w:sz w:val="23"/>
          <w:szCs w:val="23"/>
        </w:rPr>
        <w:t>​​​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This project intersects with the Board’s Recreation Objective by promoting health and safety at river crossings, lakes, trailheads and other high-use or high-risk destinations. This project promotes health and safety and access through improved infrastructure at impacted recreation destinations. </w:t>
      </w:r>
      <w:r w:rsidRPr="00FB1E99">
        <w:rPr>
          <w:rFonts w:ascii="Arial" w:hAnsi="Arial" w:eastAsia="Times New Roman" w:cs="Arial"/>
          <w:color w:val="000000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 </w:t>
      </w:r>
      <w:r w:rsidRPr="00FB1E99">
        <w:rPr>
          <w:rFonts w:ascii="Arial" w:hAnsi="Arial" w:eastAsia="Times New Roman" w:cs="Arial"/>
          <w:color w:val="000000"/>
          <w:sz w:val="23"/>
          <w:szCs w:val="23"/>
        </w:rPr>
        <w:t>​</w:t>
      </w:r>
      <w:r w:rsidRPr="00FB1E99">
        <w:rPr>
          <w:rFonts w:ascii="Segoe UI" w:hAnsi="Segoe UI" w:eastAsia="Times New Roman" w:cs="Segoe UI"/>
          <w:color w:val="000000"/>
          <w:sz w:val="24"/>
          <w:szCs w:val="24"/>
        </w:rPr>
        <w:t> </w:t>
      </w:r>
    </w:p>
    <w:p w:rsidRPr="00FB1E99" w:rsidR="00990A9D" w:rsidP="00990A9D" w:rsidRDefault="00990A9D" w14:paraId="46D2657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OPERATIONAL IMPACT </w:t>
      </w:r>
    </w:p>
    <w:p w:rsidRPr="00FB1E99" w:rsidR="00990A9D" w:rsidP="00990A9D" w:rsidRDefault="00990A9D" w14:paraId="108AC592" w14:textId="77777777">
      <w:pPr>
        <w:spacing w:after="0" w:line="240" w:lineRule="auto"/>
        <w:ind w:left="240" w:hanging="2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 xml:space="preserve">Will the funds be used to pay for a direct county cost or cost incurred by others?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Segoe UI Symbol" w:hAnsi="Segoe UI Symbol" w:eastAsia="Times New Roman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County Cost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☒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Other Cost   </w:t>
      </w:r>
    </w:p>
    <w:p w:rsidRPr="00FB1E99" w:rsidR="00990A9D" w:rsidP="00990A9D" w:rsidRDefault="00990A9D" w14:paraId="36CA2EE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PROJECT TIMELINE / READINESS </w:t>
      </w:r>
    </w:p>
    <w:tbl>
      <w:tblPr>
        <w:tblW w:w="9164" w:type="dxa"/>
        <w:tblInd w:w="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8"/>
        <w:gridCol w:w="4566"/>
      </w:tblGrid>
      <w:tr w:rsidRPr="00FB1E99" w:rsidR="00990A9D" w:rsidTr="00741EEE" w14:paraId="0D7E4087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990A9D" w:rsidP="00741EEE" w:rsidRDefault="00990A9D" w14:paraId="05755A7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Grant award agreement executed: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990A9D" w:rsidP="00741EEE" w:rsidRDefault="00E86A6A" w14:paraId="021C29DA" w14:textId="3054EB0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w Cen MT" w:hAnsi="Tw Cen MT" w:eastAsia="Times New Roman" w:cs="Times New Roman"/>
                <w:sz w:val="23"/>
                <w:szCs w:val="23"/>
              </w:rPr>
              <w:t>10</w:t>
            </w:r>
            <w:r w:rsidRPr="00FB1E99" w:rsidR="00990A9D">
              <w:rPr>
                <w:rFonts w:ascii="Tw Cen MT" w:hAnsi="Tw Cen MT" w:eastAsia="Times New Roman" w:cs="Times New Roman"/>
                <w:sz w:val="23"/>
                <w:szCs w:val="23"/>
              </w:rPr>
              <w:t>/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23</w:t>
            </w:r>
            <w:r w:rsidRPr="00FB1E99" w:rsidR="00990A9D">
              <w:rPr>
                <w:rFonts w:ascii="Tw Cen MT" w:hAnsi="Tw Cen MT" w:eastAsia="Times New Roman" w:cs="Times New Roman"/>
                <w:sz w:val="23"/>
                <w:szCs w:val="23"/>
              </w:rPr>
              <w:t>/2</w:t>
            </w:r>
            <w:r w:rsidR="00990A9D">
              <w:rPr>
                <w:rFonts w:ascii="Tw Cen MT" w:hAnsi="Tw Cen MT" w:eastAsia="Times New Roman" w:cs="Times New Roman"/>
                <w:sz w:val="23"/>
                <w:szCs w:val="23"/>
              </w:rPr>
              <w:t>3</w:t>
            </w:r>
            <w:r w:rsidRPr="00FB1E99" w:rsidR="00990A9D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990A9D" w:rsidTr="00741EEE" w14:paraId="0E343DBE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990A9D" w:rsidP="00741EEE" w:rsidRDefault="00990A9D" w14:paraId="3F7E349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First quarterly report received: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990A9D" w:rsidP="00741EEE" w:rsidRDefault="00990A9D" w14:paraId="67B46284" w14:textId="575B794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Received, 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1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/</w:t>
            </w:r>
            <w:r w:rsidR="00E86A6A">
              <w:rPr>
                <w:rFonts w:ascii="Tw Cen MT" w:hAnsi="Tw Cen MT" w:eastAsia="Times New Roman" w:cs="Times New Roman"/>
                <w:sz w:val="23"/>
                <w:szCs w:val="23"/>
              </w:rPr>
              <w:t>09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/2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4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990A9D" w:rsidTr="00741EEE" w14:paraId="0DFA23D7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990A9D" w:rsidP="00741EEE" w:rsidRDefault="00990A9D" w14:paraId="0531690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Project Completed: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990A9D" w:rsidP="00741EEE" w:rsidRDefault="00990A9D" w14:paraId="53981F6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In progress </w:t>
            </w:r>
          </w:p>
        </w:tc>
      </w:tr>
    </w:tbl>
    <w:p w:rsidRPr="00FB1E99" w:rsidR="00990A9D" w:rsidP="00990A9D" w:rsidRDefault="00990A9D" w14:paraId="503DAC0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 </w:t>
      </w:r>
    </w:p>
    <w:p w:rsidRPr="00FB1E99" w:rsidR="00990A9D" w:rsidP="00990A9D" w:rsidRDefault="00990A9D" w14:paraId="68FD2F8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BUDGET DETAIL </w:t>
      </w:r>
    </w:p>
    <w:p w:rsidRPr="00FB1E99" w:rsidR="00990A9D" w:rsidP="00990A9D" w:rsidRDefault="00990A9D" w14:paraId="54145316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In what SBU/Office 2/Account(s) will ARPA-funded project activity be incurred?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905"/>
        <w:gridCol w:w="1110"/>
        <w:gridCol w:w="1537"/>
        <w:gridCol w:w="4792"/>
      </w:tblGrid>
      <w:tr w:rsidRPr="00FB1E99" w:rsidR="00990A9D" w:rsidTr="00741EEE" w14:paraId="7481D6A8" w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990A9D" w:rsidP="00741EEE" w:rsidRDefault="00990A9D" w14:paraId="2AC44A0F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SBU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990A9D" w:rsidP="00741EEE" w:rsidRDefault="00990A9D" w14:paraId="4759FDD6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Ofc2 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990A9D" w:rsidP="00741EEE" w:rsidRDefault="00990A9D" w14:paraId="626BD328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Account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990A9D" w:rsidP="00741EEE" w:rsidRDefault="00990A9D" w14:paraId="5D908C42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Amount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990A9D" w:rsidP="00741EEE" w:rsidRDefault="00990A9D" w14:paraId="0D619AF1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Description </w:t>
            </w:r>
          </w:p>
        </w:tc>
      </w:tr>
      <w:tr w:rsidRPr="00FB1E99" w:rsidR="00990A9D" w:rsidTr="00741EEE" w14:paraId="58D74C44" w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990A9D" w:rsidP="00741EEE" w:rsidRDefault="00990A9D" w14:paraId="3414D355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70102 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990A9D" w:rsidP="00741EEE" w:rsidRDefault="00990A9D" w14:paraId="1DFC37BA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325 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990A9D" w:rsidP="00741EEE" w:rsidRDefault="00990A9D" w14:paraId="6FF297DC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521520 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990A9D" w:rsidP="00741EEE" w:rsidRDefault="00990A9D" w14:paraId="48B8C317" w14:textId="2722B761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 w:rsidR="00E86A6A">
              <w:rPr>
                <w:rFonts w:ascii="Tw Cen MT" w:hAnsi="Tw Cen MT" w:eastAsia="Times New Roman" w:cs="Times New Roman"/>
                <w:sz w:val="23"/>
                <w:szCs w:val="23"/>
              </w:rPr>
              <w:t>16,700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990A9D" w:rsidP="00741EEE" w:rsidRDefault="00990A9D" w14:paraId="7321200B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Outdoor Visitor Safety Fund  </w:t>
            </w:r>
          </w:p>
        </w:tc>
      </w:tr>
      <w:tr w:rsidRPr="00FB1E99" w:rsidR="00990A9D" w:rsidTr="00741EEE" w14:paraId="0617483A" w14:textId="77777777">
        <w:trPr>
          <w:trHeight w:val="300"/>
        </w:trPr>
        <w:tc>
          <w:tcPr>
            <w:tcW w:w="3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990A9D" w:rsidP="00741EEE" w:rsidRDefault="00990A9D" w14:paraId="5695B9B9" w14:textId="77777777">
            <w:pPr>
              <w:spacing w:after="0" w:line="240" w:lineRule="auto"/>
              <w:ind w:left="60"/>
              <w:jc w:val="righ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Total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990A9D" w:rsidP="00741EEE" w:rsidRDefault="00990A9D" w14:paraId="4902D30F" w14:textId="10A707D5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$</w:t>
            </w:r>
            <w:r w:rsidR="00E86A6A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16,700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990A9D" w:rsidP="00741EEE" w:rsidRDefault="00990A9D" w14:paraId="0C67D306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Note: Total should match ARPA Funding Request amount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</w:tbl>
    <w:p w:rsidRPr="00FB1E99" w:rsidR="00990A9D" w:rsidP="00990A9D" w:rsidRDefault="00990A9D" w14:paraId="463A91A4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0"/>
          <w:szCs w:val="20"/>
        </w:rPr>
        <w:t> </w:t>
      </w:r>
    </w:p>
    <w:p w:rsidRPr="00FB1E99" w:rsidR="00990A9D" w:rsidP="00990A9D" w:rsidRDefault="00990A9D" w14:paraId="4FF21FB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sz w:val="32"/>
          <w:szCs w:val="32"/>
        </w:rPr>
        <w:t>EXPENDITURE TRACKING/REPORTING</w:t>
      </w:r>
      <w:r w:rsidRPr="00FB1E99">
        <w:rPr>
          <w:rFonts w:ascii="Arial" w:hAnsi="Arial" w:eastAsia="Times New Roman" w:cs="Arial"/>
          <w:caps/>
          <w:sz w:val="32"/>
          <w:szCs w:val="32"/>
        </w:rPr>
        <w:t> </w:t>
      </w:r>
      <w:r w:rsidRPr="00FB1E99">
        <w:rPr>
          <w:rFonts w:ascii="Tw Cen MT" w:hAnsi="Tw Cen MT" w:eastAsia="Times New Roman" w:cs="Segoe UI"/>
          <w:sz w:val="32"/>
          <w:szCs w:val="32"/>
        </w:rPr>
        <w:t> </w:t>
      </w:r>
    </w:p>
    <w:p w:rsidRPr="00FB1E99" w:rsidR="00990A9D" w:rsidP="00990A9D" w:rsidRDefault="00990A9D" w14:paraId="16B8635D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990A9D" w:rsidP="7D4730E0" w:rsidRDefault="00990A9D" w14:paraId="3AC8A820" w14:textId="7AEC5684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7D4730E0" w:rsidR="00990A9D">
        <w:rPr>
          <w:rFonts w:ascii="Tw Cen MT" w:hAnsi="Tw Cen MT" w:eastAsia="Times New Roman" w:cs="Segoe UI"/>
          <w:sz w:val="23"/>
          <w:szCs w:val="23"/>
        </w:rPr>
        <w:t xml:space="preserve">Total expenditures (as of </w:t>
      </w:r>
      <w:r w:rsidRPr="7D4730E0" w:rsidR="00990A9D">
        <w:rPr>
          <w:rFonts w:ascii="Tw Cen MT" w:hAnsi="Tw Cen MT" w:eastAsia="Times New Roman" w:cs="Segoe UI"/>
          <w:sz w:val="23"/>
          <w:szCs w:val="23"/>
        </w:rPr>
        <w:t>1</w:t>
      </w:r>
      <w:r w:rsidRPr="7D4730E0" w:rsidR="00990A9D">
        <w:rPr>
          <w:rFonts w:ascii="Tw Cen MT" w:hAnsi="Tw Cen MT" w:eastAsia="Times New Roman" w:cs="Segoe UI"/>
          <w:sz w:val="23"/>
          <w:szCs w:val="23"/>
        </w:rPr>
        <w:t>/</w:t>
      </w:r>
      <w:r w:rsidRPr="7D4730E0" w:rsidR="00990A9D">
        <w:rPr>
          <w:rFonts w:ascii="Tw Cen MT" w:hAnsi="Tw Cen MT" w:eastAsia="Times New Roman" w:cs="Segoe UI"/>
          <w:sz w:val="23"/>
          <w:szCs w:val="23"/>
        </w:rPr>
        <w:t>14</w:t>
      </w:r>
      <w:r w:rsidRPr="7D4730E0" w:rsidR="00990A9D">
        <w:rPr>
          <w:rFonts w:ascii="Tw Cen MT" w:hAnsi="Tw Cen MT" w:eastAsia="Times New Roman" w:cs="Segoe UI"/>
          <w:sz w:val="23"/>
          <w:szCs w:val="23"/>
        </w:rPr>
        <w:t>/202</w:t>
      </w:r>
      <w:r w:rsidRPr="7D4730E0" w:rsidR="00990A9D">
        <w:rPr>
          <w:rFonts w:ascii="Tw Cen MT" w:hAnsi="Tw Cen MT" w:eastAsia="Times New Roman" w:cs="Segoe UI"/>
          <w:sz w:val="23"/>
          <w:szCs w:val="23"/>
        </w:rPr>
        <w:t>4</w:t>
      </w:r>
      <w:r w:rsidRPr="7D4730E0" w:rsidR="00990A9D">
        <w:rPr>
          <w:rFonts w:ascii="Tw Cen MT" w:hAnsi="Tw Cen MT" w:eastAsia="Times New Roman" w:cs="Segoe UI"/>
          <w:sz w:val="23"/>
          <w:szCs w:val="23"/>
        </w:rPr>
        <w:t>): $</w:t>
      </w:r>
      <w:r w:rsidRPr="7D4730E0" w:rsidR="4C1C35C1">
        <w:rPr>
          <w:rFonts w:ascii="Tw Cen MT" w:hAnsi="Tw Cen MT" w:eastAsia="Times New Roman" w:cs="Segoe UI"/>
          <w:sz w:val="23"/>
          <w:szCs w:val="23"/>
        </w:rPr>
        <w:t>0</w:t>
      </w:r>
    </w:p>
    <w:p w:rsidRPr="00FB1E99" w:rsidR="00990A9D" w:rsidP="7D4730E0" w:rsidRDefault="00990A9D" w14:paraId="3EE69616" w14:textId="493AB035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sz w:val="23"/>
          <w:szCs w:val="23"/>
        </w:rPr>
      </w:pPr>
      <w:r w:rsidRPr="7D4730E0" w:rsidR="00990A9D">
        <w:rPr>
          <w:rFonts w:ascii="Tw Cen MT" w:hAnsi="Tw Cen MT" w:eastAsia="Times New Roman" w:cs="Segoe UI"/>
          <w:sz w:val="23"/>
          <w:szCs w:val="23"/>
        </w:rPr>
        <w:t>Nevada County has provided 1</w:t>
      </w:r>
      <w:r w:rsidRPr="7D4730E0" w:rsidR="00990A9D">
        <w:rPr>
          <w:rFonts w:ascii="Tw Cen MT" w:hAnsi="Tw Cen MT" w:eastAsia="Times New Roman" w:cs="Segoe UI"/>
          <w:sz w:val="18"/>
          <w:szCs w:val="18"/>
          <w:vertAlign w:val="superscript"/>
        </w:rPr>
        <w:t>st</w:t>
      </w:r>
      <w:r w:rsidRPr="7D4730E0" w:rsidR="00990A9D">
        <w:rPr>
          <w:rFonts w:ascii="Tw Cen MT" w:hAnsi="Tw Cen MT" w:eastAsia="Times New Roman" w:cs="Segoe UI"/>
          <w:sz w:val="23"/>
          <w:szCs w:val="23"/>
        </w:rPr>
        <w:t xml:space="preserve"> of 2 payments totaling: $</w:t>
      </w:r>
      <w:r w:rsidRPr="7D4730E0" w:rsidR="458010C6">
        <w:rPr>
          <w:rFonts w:ascii="Tw Cen MT" w:hAnsi="Tw Cen MT" w:eastAsia="Times New Roman" w:cs="Segoe UI"/>
          <w:sz w:val="23"/>
          <w:szCs w:val="23"/>
        </w:rPr>
        <w:t>15,030</w:t>
      </w:r>
    </w:p>
    <w:p w:rsidRPr="00FB1E99" w:rsidR="00990A9D" w:rsidP="00990A9D" w:rsidRDefault="00990A9D" w14:paraId="2F18A841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990A9D" w:rsidP="00990A9D" w:rsidRDefault="00990A9D" w14:paraId="5FFB8C6B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Narrative report: </w:t>
      </w:r>
    </w:p>
    <w:p w:rsidRPr="00FB1E99" w:rsidR="00990A9D" w:rsidP="00990A9D" w:rsidRDefault="00990A9D" w14:paraId="5046D7A9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lastRenderedPageBreak/>
        <w:t> </w:t>
      </w:r>
    </w:p>
    <w:tbl>
      <w:tblPr>
        <w:tblW w:w="9164" w:type="dxa"/>
        <w:tblInd w:w="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018"/>
        <w:gridCol w:w="5171"/>
      </w:tblGrid>
      <w:tr w:rsidRPr="00FB1E99" w:rsidR="00990A9D" w:rsidTr="00741EEE" w14:paraId="01C9612A" w14:textId="77777777">
        <w:trPr>
          <w:trHeight w:val="300"/>
        </w:trPr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990A9D" w:rsidP="00741EEE" w:rsidRDefault="00990A9D" w14:paraId="48CC52B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First quarterly report 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990A9D" w:rsidP="00741EEE" w:rsidRDefault="00990A9D" w14:paraId="618E655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w Cen MT" w:hAnsi="Tw Cen MT" w:eastAsia="Times New Roman" w:cs="Times New Roman"/>
                <w:sz w:val="23"/>
                <w:szCs w:val="23"/>
              </w:rPr>
              <w:t>October-December 2023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632A0" w:rsidR="00990A9D" w:rsidP="00741EEE" w:rsidRDefault="00E86A6A" w14:paraId="2ED378AD" w14:textId="5886EB4D">
            <w:pPr>
              <w:spacing w:after="0" w:line="240" w:lineRule="auto"/>
              <w:textAlignment w:val="baseline"/>
            </w:pPr>
            <w:r>
              <w:rPr>
                <w:rFonts w:cstheme="minorHAnsi"/>
              </w:rPr>
              <w:t>This project will begin in January 2024</w:t>
            </w:r>
          </w:p>
        </w:tc>
      </w:tr>
    </w:tbl>
    <w:p w:rsidRPr="00FB1E99" w:rsidR="00990A9D" w:rsidP="00990A9D" w:rsidRDefault="00990A9D" w14:paraId="25A13358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990A9D" w:rsidP="00990A9D" w:rsidRDefault="00990A9D" w14:paraId="343B7B75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990A9D" w:rsidP="00990A9D" w:rsidRDefault="00990A9D" w14:paraId="68FC02B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PROJECT POINT OF CONTACT </w:t>
      </w:r>
    </w:p>
    <w:p w:rsidRPr="00FB1E99" w:rsidR="00990A9D" w:rsidP="00990A9D" w:rsidRDefault="00990A9D" w14:paraId="2701A7D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Name and title: Erika Seward, Sr. Administrative Analyst - CDA</w:t>
      </w: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990A9D" w:rsidP="00990A9D" w:rsidRDefault="00990A9D" w14:paraId="05917A4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990A9D" w:rsidP="00990A9D" w:rsidRDefault="00990A9D" w14:paraId="390D3AC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Segoe UI" w:hAnsi="Segoe UI" w:eastAsia="Times New Roman" w:cs="Segoe UI"/>
          <w:caps/>
          <w:noProof/>
          <w:color w:val="213D3D"/>
          <w:sz w:val="18"/>
          <w:szCs w:val="18"/>
        </w:rPr>
        <w:drawing>
          <wp:inline distT="0" distB="0" distL="0" distR="0" wp14:anchorId="4408E231" wp14:editId="23DA4BF1">
            <wp:extent cx="6257925" cy="1076325"/>
            <wp:effectExtent l="0" t="0" r="9525" b="9525"/>
            <wp:docPr id="1" name="Picture 1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990A9D" w:rsidP="00990A9D" w:rsidRDefault="00990A9D" w14:paraId="4B94D29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="00990A9D" w:rsidP="00990A9D" w:rsidRDefault="00990A9D" w14:paraId="275FACB8" w14:textId="77777777"/>
    <w:p w:rsidR="00990A9D" w:rsidP="00990A9D" w:rsidRDefault="00990A9D" w14:paraId="1C71DBB9" w14:textId="77777777"/>
    <w:p w:rsidR="00990A9D" w:rsidP="00990A9D" w:rsidRDefault="00990A9D" w14:paraId="5707099E" w14:textId="77777777"/>
    <w:p w:rsidR="005505A9" w:rsidRDefault="005505A9" w14:paraId="7E6C3955" w14:textId="77777777"/>
    <w:sectPr w:rsidR="005505A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9D"/>
    <w:rsid w:val="005505A9"/>
    <w:rsid w:val="006C2BD0"/>
    <w:rsid w:val="00990A9D"/>
    <w:rsid w:val="00E86A6A"/>
    <w:rsid w:val="00FA6F93"/>
    <w:rsid w:val="27F5F06F"/>
    <w:rsid w:val="42CBA5C2"/>
    <w:rsid w:val="458010C6"/>
    <w:rsid w:val="4C1C35C1"/>
    <w:rsid w:val="6623B716"/>
    <w:rsid w:val="7D47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ECE6"/>
  <w15:chartTrackingRefBased/>
  <w15:docId w15:val="{5AFE5FA0-6F66-4C24-AA77-A6776871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0A9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5" ma:contentTypeDescription="Create a new document." ma:contentTypeScope="" ma:versionID="67108d55effcd87c4d8b0467c380a082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fc32e0b2715d4b8d30d9dd3826e102dc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5B73A3-70AD-495F-9DDD-B9C35262E2C5}"/>
</file>

<file path=customXml/itemProps2.xml><?xml version="1.0" encoding="utf-8"?>
<ds:datastoreItem xmlns:ds="http://schemas.openxmlformats.org/officeDocument/2006/customXml" ds:itemID="{C9C432AC-9EA1-4B36-A936-240D0945DF61}"/>
</file>

<file path=customXml/itemProps3.xml><?xml version="1.0" encoding="utf-8"?>
<ds:datastoreItem xmlns:ds="http://schemas.openxmlformats.org/officeDocument/2006/customXml" ds:itemID="{C3CC79F1-91A5-4858-A877-DE25E94A45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Hayes</dc:creator>
  <cp:keywords/>
  <dc:description/>
  <cp:lastModifiedBy>Alexander Hayes</cp:lastModifiedBy>
  <cp:revision>2</cp:revision>
  <dcterms:created xsi:type="dcterms:W3CDTF">2024-01-30T16:48:00Z</dcterms:created>
  <dcterms:modified xsi:type="dcterms:W3CDTF">2024-02-01T18:53:37Z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